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городского имущества города Москвы (далее – Департамент) обратился в Арбитражный суд города Москвы с иском к обществу с ограниченной ответственностью «Агентство информационных современных технологий» (далее – Общество) о взыскании 20 584 990 рублей 94 копеек задолженности и неустойки. Решением Арбитражного суда города Москвы от 14.03.2019, оставленным без изменения постановлением Девятого арбитражного апелляционного суда от 24.05.2019 и постановлением Арбитражного суда Московского округа от 05.09.2019, исковые требования удовлетворены в полном объеме.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указывает, что не был извещен о начавшемся процессе, поскольку направленное 31.01.2019 судебное извещение не 2 было им получено и 11.02.2019 выслано обратно отправителю за истечением срока хранения. Общество полагает, что взысканная неустойка явно несоразмерна последствиям нарушения обязательства и может повлечь получение кредитором необоснованной выгоды.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сторонами заключен договор купли-продажи от 29.01.2015 № 59-1591, в соответствии с которым Департамент обязался передать в собственность Общества нежилое помещение общей площадью 141,60 кв. м, расположенное по адресу: г. Москва, ул. Дубнинская, д. 47, кор. 1, а ответчик принять и оплатить его стоимость. Ответчик за период с 30.06.2016 по 06.03.2018 не внес ежемесячные платежи, в связи с чем сумма долга с начислением процентов составила 7 338 824 рубля 65 копеек. Департамент в соответствии с пунктом 5.1 договора начислил пени за просрочку обязательств с 30.06.2016 по 06.03.2018 на сумму 13 246 165 рублей 84 копейки. В претензии от 07.03.2018 № 33-6-40976/18-(0), оставленной без удовлетворения, ответчику было предложено оплатить имеющуюся задолженность по договору купли-продажи в течение 30 дней с момента отправки претензии. Указанные обстоятельства явились основанием для обращения Департамента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309, 310, 454, 488 Гражданского кодекса Российской Федерации (далее – Гражданский кодекс), суды удовлетворили заявленные требования, признав подтвержденным наличие задолженности и ее размер. Принимая во внимание положения статей 54, 165.1 Гражданского кодекса и статей 121, 123 АПК РФ, суды правомерно сочли, что Общество о начавшемся процессе было извещено надлежащим образом. Отклоняя довод о несоразмерности взысканной неустойки, суды апелляционной и кассационной инстанций указали, что заявление о снижении неустойки не было сделано ответчиком в суде первой инстанции. 3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«Агентство информационных современных технологий»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