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«Актив» (далее – Компания) обратилось в Арбитражный суд Ростовской области с иском к обществу с ограниченной ответственностью «МАС-Сервис» (далее – Общество) о взыскании 95 000 рублей задолженности по уплате членских взносов и 13 209 рублей 65 копеек процентов за пользование чужими денежными средствами за период с 01.12.2015 по 07.03.2018. Решением Арбитражного суда Краснодарского края от 19.03.2019, оставленным без изменения постановлением Пятнадцатого арбитражного апелляционного суда от 20.07.2019 и постановлением Арбитражного суда Северо- Кавказского округа от 26.09.2019, исковые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ненадлежащее извещение о времени и месте рассмотрения дела, а также отсутствие оснований для взыскания задолженности.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29.04.2014 Общество принято в члены Саморегулируемой организации Некоммерческое партнерство «Добровольное строительное товарищество «Центр специального строительства и ремонта» (далее – Партнерство), что подтверждается протоколом Правления от 29.04.2014 № 29/1/4. Согласно статьям 3.1, 3.2, 3.3 Положения о взносах Партнерства размер ежегодного членского взноса составляет 60 000 рублей; при ежемесячной оплате – 5 000 рублей в месяц. В период членства в Партнерстве с 29.04.2014 по 30.06.2017 у Общества образовалась задолженность по уплате членских взносов в размере 95 000 рублей. Между Партнерством (цедент) и Компанией (цессионарий) 18.07.2017 заключен договор уступки права (требований) № 18/1/7-ДСТ, на основании которого истец приобрел право требования задолженности по уплате членских взносов, образовавшейся у ответчика, в том числе и право требования процентов за пользование чужими денежными средствами. Указанные обстоятельства послужили основанием для обращения Компании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382, 384, 395 Гражданского кодекса Российской Федерации, статьями 8, 14 Федерального закона от 12.01.1996 № 7-ФЗ «О некоммерческих организациях», статьями 5, 12 Федерального закона от 01.12.2007 № 315-ФЗ «О саморегулируемых организациях», суды удовлетворили заявленные требования, установив наличие у Общества неоплаченной задолженности по уплате взносов, а также правомерность замены кредитора в обязательстве. Доводы кассационной жалобы, которые были предметом рассмотрения судов,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«МАС-Сервис»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