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01.05.2019, оставленным без изменения постановлением Седьмого арбитражного апелляционного суда от 07.08.2019 и постановлением Арбитражного суда Западно-Сибирского округа от 29.10.2019, с общества в пользу компании взыскано 710 000 руб.,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вступивший в законную силу судебный акт по делу № А45-24193/2016, руководствуясь статьями 167, 1103 Гражданского кодекса Российской Федерации, установив факт перечисления компанией денежных средств в спорном размере и получения их обществом в рамках договора, признанного впоследствии недействительным, суды первой и апелляционной инстанции пришли к выводу о наличии на стороне последнего неосновательного обогащения, в связи с чем удовлетворили исковые требования в данной части. С указанными выводами впоследствии согласился суд округа. Доводы кассационной жалобы были предметом рассмотрения судов и получили оценку, не опровергают выводы судов и не подтверждают существенных нарушений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«Сибэнергоремонт»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