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07.11.2019 повторно направил в Верховный Суд Российской Федерации кассационную жалобу и одновременно заявил ходатайство о восстановлении пропущенного срока.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Оценив приведенные фондом причины пропуска процессуального срока, учитывая предоставление фондом доказательств своевременного направления первоначальной жалобы (30.09.2019) и основания ее возврата, суд признает их уважительными. На основании изложенного, руководствуясь статьями 102 , 184 , 291.3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 Воронежского регионального отделения Фонда социального страхования Российской Федерации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ИП Сергеева Оксана Ивановна (подробнее) Ответчики: ГУ ВРО ФСС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