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27.05.2019 в удовлетворении заявленных требований отказано. 2 Постановлением Тринадцатого арбитражного апелляционного суда от 12.09.2019 решение суда первой инстанции отменено, заявленные требования удовлетворены. В жалобе административный орган просит отменить постановление суда апелляционной инстанции, ссылаясь на неправильное, по его мнению, применение норм материального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установив неуказание в платежном документе на оплату коммунальных услуг номера банковского счета и банковских реквизитов управляющей компании, административный орган привлек ее к ответственности за нарушение прав потребителя на получение необходимой и достоверной информации об исполнителе. Частью 1 статьи 14.8 Кодекса Российской Федерации об административных правонарушениях предусмотрена административная ответственность за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Отменяя решение суда первой инстанции и признавая постановление по делу об административном правонарушении незаконным, суд апелляционной инстанции исходил из недоказанности административный органом состава правонарушения, ответственность за совершение которого предусмотрена частью 1 статьи 14.8 Кодекса Российской Федерации об административных правонарушениях. При этом суд апелляционной инстанции исходил из того, что потребитель при обращении с жалобой связывал факт нарушения своих прав с тем, что общество поручило исполнение обязанности по взиманию с собственников помещений платы за оказанные услуги иной организации – платежному агенту. 3 Приведенные в жалобе доводы о том, что плата иным организациям может перечисляться только на основании решения собрания собственников жилья, выводы суда апелляционной инстанции не опровергают и не соответствуют диспозиции нормы части 1 статьи 14.8 Кодекса Российской Федерации об административных правонарушениях. Поскольку все юридически значимые обстоятельства при рассмотрении дела об административном нарушении, имеющие существенное значение для разрешения спора, установлены судом апелляционной инстанции на основании полного и всестороннего исследования имеющихся в деле доказательств, которым дана оценка, оснований для удовлетворения жалобы и отмены или изменения обжалуемого судебного акта не имеется.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