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14.02.2019, оставленным без изменения постановлениями Девятого арбитражного апелляционного суда от 17.05.2019 и Арбитражного суда Московского округа от 17.09.2019,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уточненной налоговой декларации по налогу на имущество организаций за 2016 год инспекция приняла оспариваемое решение о доначислении налога в размере 174 457 468 рублей. Решением Управления Федеральной налоговой службы по городу Москве от 20.08.2018г. № 21-19/179715, вынесенным по результатам рассмотрения жалобы общества, решение налогового органа оставлено без изменения. Основанием для принятия указанного решения послужил вывод инспекции о неправомерном применении обществом льготы, предусмотренной пунктом 21 статьи 381 Налогового кодекса Российской Федерации (далее - Налоговый кодекс), в отношении спорного объекта недвижимого имущества. Отказывая в удовлетворении заявленного требования, судебные инстанции, оценив представленные в материалы дела доказательства, руководствуясь положениями статей 373, 374, 375, 381 Налогового кодекса,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об энергосбережении), Федеральным законом от 30.12.2009 № 384-ФЗ «Технический регламент о безопасности зданий и сооружений», Правилами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утвержденными постановлением Правительства Российской Федерации от 25.01.2011 № 18, пришли к выводу о законности оспоренного решения с учетом недоказанности обществом наличия правовых оснований для применения заявленной льготы по налогу на имущество. При этом суды исходили из того, что для соответствия объектов обязательным условиям применения льготы по пункту 21 статьи 381 Налогового кодекса необходимо, чтобы объект был вновь возведенным, имел высокий класс энергетической эффективности на момент его ввода в эксплуатацию, и в отношении такого объекта законодательством предусмотрено определение класса энергетической эффективности. 3 Вместе с тем, в отношении принадлежащего обществу объекта - нежилого здания правила определения классов энергетической эффективности действующим законодательством Российской Федерации не предусмотрены. Ссылка заявителя на СНиП 23-02-2003 «Тепловая защита зданий» признается несостоятельной, поскольку содержание понятия «класс энергетической эффективности», используемого в Законе об энергосбережении, не тождественно аналогичному термину в СНиП 23-02-2003, в связи с чем положения СНиП в части определения класса энергетической эффективности в периоде действия Закона об энергосбережении не применимы. Таким образом, применение энергетического паспорта в качестве доказательства соответствия условиям рассматриваемой льготы, в отсутствие критериев для определения классов энергетической эффективности нежилых зданий (строений, сооружений) является неправомерным. Доводы, изложенные в кассационной жалобе, не свидетельствуют о нарушении судами норм материального и процессуального права, повлиявших на исход дела, основаны на несогласии общества с выводами судов по фактическим обстоятельствам дела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«Кожуховская-Инвест»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