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подает кассационную жалобу и одновременно ходатайствует о приостановлении производства по делу № А40-144943/2019 до окончания кассационного производства в Верховном Суде Российской Федерации. Суд рассматривает заявление о приостановлении производства по делу в качестве ходатайства о приостановлении исполнения постановления апелляционного суда от 10.09.2019 и отказывает в нем вследствие отсутствия обстоятельств, влекущих в силу части 3 статьи 291.6 Арбитражного процессуального кодекса Российской Федерации приостановление исполнения судебного акта в связи с поданной кассационной жалобой. Руководствуясь статьями 184,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«Оптимизация Транспортных Издержек-Логистика» в приостановлении исполнения постановления Девятого арбитражного апелляционного суда от 10.09.2019 по делу № А40-144943/2019 Арбитражного суда города Москвы.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