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25.12.2018, оставленным без изменения постановлением Восьмого арбитражного апелляционного суда от 07.05.2019 и постановлением Арбитражного суда Западно-Сибирского округа от 04.09.2019, в удовлетворении первоначального иска отказано, встречный иск удовлетворен.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новый судебный акт.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Предъявленные взаимные требования общества (арендатора) и предпринимателя (арендодателя) основаны на договоре от 01.03.2015 № 10/2015 аренды транспортного средства с экипажем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307 , 309 , 310 , 329 , 395 , 606 , 614 , 622 , 632 , 633 Гражданского кодекса Российской Федерации, установив, что по окончании срока действия договора арендатор не возвратил арендодателю арендованные транспортные средства, не подтвердил факт погашения задолженности перед предпринимателем и ненадлежащего исполнения последним обязательств по договору, суды первой и апелляционной инстанций пришли к выводу об отсутствии оснований для удовлетворения первоначального иска и обоснованности встречных требований. С указанными выводами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«НИКА-Транс»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"Ника-Транс"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