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02.11.2018, оставленным без изменения постановлением Семнадцатого арбитражного апелляционного суда от 15.04.2019 и постановлением Арбитражного суда Уральского округа от 16.09.2019, первоначальный иск удовлетворен частично, с предпринимателя в пользу комитета взыскано 1 759 145 руб. 32 коп. долга по арендной плате, 423 371 руб. 48 коп. пеней с продолжением их начисления по день фактической оплаты основного долга, договор от 27.07.2019 № 347, заключенный между комитетом и предпринимателем, расторгнут, в удовлетворении остальной части первоначальных требований и в удовлетворении встречного иска отказано. В кассационных жалобах, поданных в Верховный Суд Российской Федерации, общество и предприниматель, ссылаясь на нарушение судами норм права, просят отменить указанные судебные акты и направить дело на новое рассмотрение в соответствующий арбитражный суд.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кассационных жалоб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196, 199, 309, 310, 330, 331, 450, 452, 606, 614, 619 Гражданского кодекса Российской Федерации, разъяснениями, приведенными в постановлении Пленума Высшего Арбитражного Суда Российской Федерации от 17.11.2011 № 73 «Об отдельных вопросах практики применения правил Гражданского кодекса Российской Федерации о договоре аренды»,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установив факт пользования предпринимателем 3 (арендатором) в период с 01.04.2016 по 06.09.2017 недвижим имуществом, переданным в аренду по договору от 27.07.2009 № 347, наличие долга по арендной плате, которая не была внесена арендатором более двух раз подряд предусмотренного договором срока платежа, суды первой и апелляционной инстанций пришли к выводам об обоснованности требований комитета (арендодателя) о взыскании долга за указанный период, пеней, начисленных на сумму долга, и расторжении договора на основании пункта 6.2.5 договора и статьи 619 Гражданского кодекса Российской Федерации ввиду допущенного предпринимателем систематического нарушения условий договора с учетом направления арендодателем письменного предупреждения о необходимости исполнения обязательств в разумный срок. Отказывая в удовлетворении требований предпринимателя, суды исходили из недоказанности им объема и стоимости проведенных в рамках инвестиционной программы работ на заявленную сумму, а также пропуска срока исковой давности. Суд округа признал выводы судов первой и апелляционной инстанций законными и обоснованными. Доводы кассационных жалоб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дела. Поскольку в передаче кассационных жалоб для рассмотрения в судебном заседании Судебной коллегии Верховного Суда Российской Федерации отказано, ходатайства заявителей о приостановлении исполнения обжалуемых судебных актов рассмотрению не подлежат.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«Купава» и индивидуального предпринимателя Мухарямовой Аллы Александровны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