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02.11.2018, оставленным без изменения постановлением Семнадцатого арбитражного апелляционного суда от 15.04.2019 и постановлением Арбитражного суда Уральского округа от 16.09.2019, первоначальный иск удовлетворен частично, с предпринимателя в пользу комитета взыскано 1 759 145 руб. 32 коп. долга по арендной плате, 423 371 руб. 48 коп. пеней с продолжением их начисления по день фактической оплаты основного долга, договор от 27.07.2019 № 347, заключенный между комитетом и предпринимателем, расторгнут, в удовлетворении остальной части первоначальных требований и в удовлетворении встречного иска отказано. В кассационных жалобах, поданных в Верховный Суд Российской Федерации, общество и предприниматель, ссылаясь на нарушение судами норм права, просят отменить указанные судебные акты и направить дело на новое рассмотрение в соответствующий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196 , 199 , 309 , 310 , 330 , 331 , 450 , 452 , 606 , 614 , 619 Гражданского кодекса Российской Федерации, разъяснениями, приведенными в постановлении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пользования предпринимателем (арендатором) в период с 01.04.2016 по 06.09.2017 недвижим имуществом, переданным в аренду по договору от 27.07.2009 № 347, наличие долга по арендной плате, которая не была внесена арендатором более двух раз подряд предусмотренного договором срока платежа, суды первой и апелляционной инстанций пришли к выводам об обоснованности требований комитета (арендодателя) о взыскании долга за указанный период, пеней, начисленных на сумму долга, и расторжении договора на основании пункта 6.2.5 договора и статьи 619 Гражданского кодекса Российской Федерации ввиду допущенного предпринимателем систематического нарушения условий договора с учетом направления арендодателем письменного предупреждения о необходимости исполнения обязательств в разумный срок. Отказывая в удовлетворении требований предпринимателя, суды исходили из недоказанности им объема и стоимости проведенных в рамках инвестиционной программы работ на заявленную сумму, а также пропуска срока исковой давности. Суд округа признал выводы судов первой и апелляционной инстанций законными и обоснованными. Доводы кассационных жалоб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Поскольку в передаче кассационных жалоб для рассмотрения в судебном заседании Судебной коллегии Верховного Суда Российской Федерации отказано, ходатайства заявителей о приостановлении исполнения обжалуемых судебных актов рассмотрению не подлежат.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«Купава» и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Арбитражный суд Уральского округа (подробнее) Орган местного самоуправления ПО УПРАВЛЕНИЮ МУНИЦИПАЛЬНЫМ ИМУЩЕСТВОМ "КОМИТЕТ ПО УПРАВЛЕНИЮ ИМУЩЕСТВОМ ГОРОДСКОГО ОКРУГА КРАСНОТУРЬИНСК" (подробнее) Ответчики: ИП Мухарямова Алла Александровна (подробнее) ПО УПРАВЛЕНИЮ МУНИЦИПАЛЬНЫМ ИМУЩЕСТВОМ "КОМИТЕТ ПО УПРАВЛЕНИЮ ИМУЩЕСТВОМ ГОРОДСКОГО ОКРУГА КРАСНОТУРЬИНСК" (подробнее) Иные лица: ИП Жукова Марина Владимировна (подробнее) ИП Манова Татьяна Николаевна (подробнее) ИП Черниченко Дмитрий Александрович (подробнее) ИП Эйрик Галина Михайловна (подробнее) Межмуниципальный отдел по Кировградскому, Невьянскому городским округам управления Росреестра по Свердловской области (подробнее) МЕЖМУНИЦИПАЛЬНЫЙ ОТДЕЛ ПО ПЕРВОУРАЛЬСКОМУ, НОВОУРАЛЬСКОМУ ОКРУГАМ УПРАВЛЕНИЯ РОСРЕЕСТРА ПО СВЕРДЛОВСКОЙ ОБЛАСТИ (подробнее) ООО "Купава"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