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22.02.2019, оставленным без изменения постановлением Четвертого арбитражного апелляционного суда от 14.06.2019 и постановлением Арбитражного суда Восточно-Сибирского округа от 09.09.2019, заявленное требование удовлетворено частично, решение инспекции признано недействительным по эпизоду начисления налога на добавленную стоимость, пеней и штрафа по данному налогу. В удовлетворении требования в остальной части отказано. В кассационной жалобе, поданной в Верховный Суд Российской Федерации, общество просит отменить судебные акты в части отказа в признании недействительным решения инспекции о начислении налога на прибыль, пеней и штрафа по данному налогу, ссылаясь на существенное нарушение норм права, и удовлетворить требование в данной части.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доначисления 9 746 355 рублей налога на прибыль, начисления 2 830 666 рублей 77 копеек пеней и 121 830 рублей штрафа послужил вывод налогового органа о неправомерном уменьшении налоговой базы на сумму убытков в размере 48 731 774 рублей, полученных за предыдущие периоды. Признавая решение инспекции в указанной части законным, суды, оценив представленные в материалы дела доказательства, руководствуясь положениями статей 252 , 274 , 282 , 283 Налогового кодекса Российской Федерации, пришли к выводу об отсутствии у общества правовых оснований для уменьшения налоговой базы по налогу на прибыль на сумму убытков, полученных за предыдущие периоды, ввиду непредставления в полном объеме первичных документов, подтверждающих сформировавшую их сумму расходов. Доводы, изложенные в кассационной жалобе, в том числе со ссылками на результаты ранее проведенных выездных налоговых проверок, сводятся к повторению позиции общества о доказанности права на уменьшение налоговой базы текущего налогового периода по налогу на прибыль, были предметом рассмотрения судов и получили правовую оценку с учетом установленных обстоятельств по делу.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«Усолье-Сибирский химико- фармацевтический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"Усолье-Сибирский химико-фармацевтический завод" (подробнее) Ответчики: Межрайонная инспекция федеральной налоговой службы России №18 по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