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07.02.2019, оставленным без изменения постановлением Восемнадцатого арбитражного апелляционного суда от 15.05.2019 и постановлением Арбитражного суда Уральского округа от 12.09.2019,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удовлетворении заявленных требований, суды трех инстанций, оценив представленные в материалы дела доказательства, руководствуясь положениями статьи 45 Налогового кодекса Российской Федерации, учитывая правовую позицию, изложенную в постановлении Конституционного Суда РФ от 12.10.1998 № 24-П, определении Конституционного Суда РФ от 25.07.2001 № 138-О, пришли к выводу об отсутствии правовых оснований для признания обязанности по уплате налога в заявленном размере исполненной и возложении на налоговый орган обязанности по совершению заявленных обществом действий. Судебные инстанции исходили из того, что налогоплательщик должен был быть осведомлен о наличии у банка финансовых трудностей с перечислением денежных средств клиентом с использованием корреспондентского счета, поскольку указанная информация была опубликована в открытых источниках, действия общества при перечислении налога являлись недобросовестными, направленными на осуществление фиктивных платежей в бюджет в целях получения необоснованной налоговой выгоды. Кроме того, суды отметили, что сумма налога, в отношении которой было представлено обращение о зачете в счет предстоящих платежей, фактически в бюджетную систему не поступила, переплата по налогам отсутствовала. Доводы заявителя, изложенные в жалобе, являлись предметом рассмотрения судов и им дана надлежащая правовая оценка. Ссылка заявителя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спора. По существу доводы жалобы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«Азия Моторс»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"Азия Моторс" (подробнее) Ответчики: Межрайонная ИФНС №29 по РБ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