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судебного департамента в городе Москве (далее – управление) обратилось в Арбитражный суд города Москвы с исковым заявлением к государственному унитарному предприятию города Москвы «Дирекция единого государственного заказчика Арбат» (далее – предприятие) о взыскании 441 103 руб. 94 коп. ущерба (с учетом изменения исковых требований в порядке статьи 49 Арбитражного процессуального кодекса Российской Федерации). Решением Арбитражного суда города Москвы от 03.04.2014 иск удовлетворен. Управление обратилось в Арбитражный суд города Москвы с заявлением о процессуальном правопреемстве и замене должника – предприятия на его правопреемника - учреждение. Арбитражный суд города Москвы определением от 15.05.2019, оставленным без изменения постановлением Девятого арбитражного апелляционного суда от 29.07.2019 и постановлением Арбитражного суда Московского округа от 10.10.2019, удовлетворил заявление управления, произвел замену должника – предприятия на его правопреемника – учреждение. В кассационной жалобе, поданной в Верховный Суд Российской Федерации, учреждение, ссылаясь на нарушение судами норм права, просит отменить указанные судебные акты и принять новый судебный акт об отказе в удовлетворении заявления управления.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статьи 48 названного Кодекса, статьи 58 Гражданского кодекса Российской Федерации, установив, что предприятие прекратило свою деятельность путем реорганизации в форме преобразования в учреждение, суды первой и апелляционной инстанций пришли к выводу о наличии оснований для удовлетворения заявления о процессуальном правопреемстве, с чем впоследствии согласился суд округа. Доводы кассационной жалобы были предметом рассмотрения судов и получили оценку, не опровергают выводы судов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города Москвы «Жилищник района Арбат»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ГОСУДАРСТВЕННОЕ БЮДЖЕТНОЕ УЧРЕЖДЕНИЕ ГОРОДА МОСКВЫ "ЖИЛИЩНИК РАЙОНА АРБАТ" (подробнее) Управление Судебного департамента в г. Москве (подробнее) Ответчики: ГУП ДЕЗ района Арбат (подробнее) Иные лица: УФНС по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