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Калачев Алексей Игоревич и общество с ограниченной ответственностью «Центральная диспетчерская служба» обратились в суд с заявлениями, впоследствии объединёнными в одно производство для совместного рассмотрения, о признании недействительной сделкой соглашения об отступном от 29.11.2016 между должником и обществом с ограниченной ответственностью «Стилком» (далее – общество «Стилком»), о применении последствий недействительности сделки, об истребовании из незаконного владения общества с ограниченной ответственностью «ПАТП № 1» и общества «Севергазлизинг» в порядке виндикации отчуждённого по соглашению об отступном от 29.11.2016 имущества: одноэтажное железобетонное здание гаража на 200 автобусов кадастровый номер 35:24:0303003:1556, одноэтажное с антресольным этажом кирпичное здание склада механизированной мойки, цеха специального подвижного состава кадастровый номер 35:24:0303003:1553, моечная установка для автобусов CHRIST С3000, станок токарно-винторезный 1В62Г (в количестве 2 штук), установка мойки агрегатов Magido J190. Определением Арбитражного суда Вологодской области от 11.03.2019, оставленным без изменения постановлениями Четырнадцатого арбитражного 2 апелляционного суда от 18.06.2019 и Арбитражного суда Северо-Западного округа от 21.10.2019, соглашение об отступном от 29.11.2016 признано недействительным, применены последствия недействительности сделки в виде взыскания с общества «Стилком» в пользу должника 165 961 900 рублей, восстановления требования общества «Стилком» к должнику в размере 69 400 000 рублей, а также в виде обязания общества с ограниченной ответственностью «ПАТП № 1» передать в собственность должника имущество, полученное по договору лизинга от 28.12.2016 № 483-16,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направив обособленный спор на новое рассмотрение в суд первой инстанции, или изменить данные судебные акты. Исходя из содержания настоящей жалобы, заявитель не согласен с судебными актами в части удовлетворения требований о виндикации имущества.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61.2 Федерального закона от 26.10.2002 № 127-ФЗ «О несостоятельности (банкротстве)», позицией, изложенной в пункте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9 информационного письма от 13.11.2008 № 126 «Обзор судебной практики по некоторым вопросам, связанным с истребованием имущества из чужого незаконного владения», установив согласованность действий всех участников цепочки сделок и наличие признаков недобросовестности со стороны покупателей имущества (в том числе и общества «Севергазлизинг»), пришли к выводу о правомерности требований о виндикации имущества, указав, что взыскание со стороны сделки стоимости вещи не препятствует удовлетворению требования о её виндикации.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«Севергазлизинг»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