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17.01.2019, оставленным без изменения постановлением Десятого арбитражного апелляционного суда от 21.05.2019, с товарищества взыскано 11 811 рублей 57 копеек, в иске к обществу «КОД» отказано. Арбитражный суд Московского округа постановлением от 02.09.2019 решение от 17.01.2019 и постановление Десятого арбитражного апелляционного суда от 21.05.2019 оставил без изменения. В кассационной жалобе товарищество просит об отмене судебных актов как незаконных, ссылаясь на то, что является ненадлежащим ответчиком.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Вина товарищества в числе других условий для взыскания убытков была предметом исследования и оценки судов, установивших, что залив застрахованного помещения произошел в результате необеспечения товариществом надлежащего содержания общедомового имущества. Суды признали товарищество ответственным за убытки лицом в соответствии со статьями 15 , 1064 , 965 Гражданского кодекса Российской Федерации. Вопросы правоотношений товарищества со вторым ответчиком находятся за пределами рассматриваемого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«Новый бульвар, 19»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"Группа Ренессанс Страхование" (подробнее) Ответчики: ООО "Код" (подробнее) ТСЖ "Новый бульвар,19"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