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недействительным договора дарения квартиры по адресу: Санкт-Петербург, Петергофское шоссе, д. 59, лит. А, кв. 277, заключенного 16.11.2013 между ФИО1 и ФИО3, применении последствий недействительности сделки в виде истребования имущества в конкурсную массу у последующего приобретателя ФИО4. Определением Арбитражного суда города Санкт-Петербурга и Ленинградской области от 20.03.2018, оставленным без изменения постановлениями Тринадцатого арбитражного апелляционного суда от 28.05.2018, в удовлетворении заявления отказано. Постановлением Арбитражного суда Северо-Западного округа от 03.09.2018 вышеуказанные судебные акты отменены, дело направлено на новое рассмотрение в Арбитражный суд города Санкт-Петербурга и Ленинградской области. При новом рассмотрении определением Арбитражного суда города Санкт-Петербурга и Ленинградской области от 17.02.2019, оставленным без изменения постановлениями Тринадцатого арбитражного апелляционного суда от 29.04.2019 и Арбитражного суда Северо-Западного округа от 13.09.2019, заявление оставлено без удовлетворения. В кассационной жалобе, поданной в Верховный Суд Российской Федерации, заявитель просит отменить принятые на новом рассмотрении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обособленный спор, суды, основываясь на оценке имеющихся в деле доказательств в соответствии с правилами главы 7 Арбитражного процессуального кодекса Российской Федерации, руководствуясь статьями 10 , 166 , 170 Гражданского кодекса Российской Федерации, статьёй 446 Гражданского процессуального кодекса Российской Федерации, статьями 61.1, 213.25, 213.32 Федерального закона от 26.10.2002 № 127-ФЗ «О несостоятельности (банкротстве)», пунктом 4 постановления Пленума Верховного Суда Российской Федерации от 25.15.2018 № 48 «О некоторых вопросах, связанных с особенностями формирования и распределения конкурсной массы в делах о банкротстве граждан», исходили из недоказанности совокупности условий для признания недействительной оспариваемой сделки, поскольку переданное по ней имущество (квартира) для самого должника и членов его семьи являлось единственным пригодным для постоянного проживания жилым помещением, в связи с чем, не подлежало включению в конкурсную массу.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гражданина ФИО1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НП СРО ВАУ "Достояние" (подробнее) ООО Коммерческий банк "Ренессанс Кредит" (подробнее) ПАО РОСБАНК (подробнее) СРО НП ВАУ "Достояние" (подробнее) УФНС по СПб (подробнее) УФРС ПО СПб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