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03.12.2018, оставленным без изменения постановлением Девятого арбитражного апелляционного суда от 22.05.2019 и постановлением Арбитражного суда Московского округа от 12.09.2019, в удовлетворении иска отказано. В кассационной жалобе, поданной в Верховный Суд Российской Федерации, объединение,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обращаясь в арбитражный суд с иском по настоящему делу, объединение (подрядчик) сослалось на нарушение обществом (субподрядчик) срока выполнения работ в рамках заключенного сторонами договора строительного подряда от 01.07.2017 № 316-07/2017 (далее – договор).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вина субподрядчика в просрочке исполнения обязательств по договору отсутствует, поскольку нарушение срока выполнения работ произошло ввиду ненадлежащего исполнения подрядчиком встречных обязательств и, руководствуясь статьями 309 , 310 , 329 , 330 , 401 , 405 , 406 , 421 , 431 , 702 , 708 , 718 Гражданского кодекса Российской Федерации, пришли к выводу об отсутствии оснований для удовлетворения иска.С указанными выводами впоследствии согласился суд округа. Доводы кассационной жалобы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«Объединение «Ингеоком»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"ОБЪЕДИНЕНИЕ "ИНГЕОКОМ" (подробнее) Ответчики: ООО "СТРОЙМОНТАЖИНДУСТРИЯ"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