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«Коммерческий банк «Кредит Экспресс»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Колмыкову Михаилу Леонидовичу о взыскании 10 383 717 рублей 32 копеек убытков. Вступившим в законную силу решением Арбитражного суда Ростовской области от 21.06.2017 иск удовлетворен полностью. Колмыков М.Л. обратился в Арбитражный суд Ростовской области с заявлением о пересмотре решения от 21.06.2017 по новым обстоятельствам. Определением Арбитражного суда Ростовской области от 16.05.2019, оставленным без изменения постановлением Пятнадцатого арбитражного апелляционного суда от 03.07.2019 и постановлением Арбитражного суда Северо- Кавказского округа от 17.09.2019, в удовлетворении заявления о пересмотре решения суда первой инстанции от 21.06.2017 по новым обстоятельствам отказано. 2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Поскольку ходатайство о восстановлении пропущенного процессуального срока заявлено Колмыковым М.Л.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кассационных жалоб.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Колмыкова Михаила Леонидовича. Срок подачи кассационной жалобы на определение Арбитражного суда Ростовской области от 16.05.2019, постановление Пятнадцатого арбитражного апелляционного суда от 03.07.2019 и постановление Арбитражного суда Северо- Кавказского округа от 17.09.2019 по делу № А53-2579/2017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