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28.03.2019, оставленным без изменения постановлением Четвертого арбитражного апелляционного суда от 20.05.2019, в удовлетворении заявленных требований отказано. Постановлением Арбитражного суда Восточно-Сибирского округа от 20.09.2019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ссылаясь на существенные нарушения норм материального и процессуального права. Исходя из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административного органа о нарушении обществом особых требований и правил розничной продажи алкогольной и спиртосодержащей продукции, установленных пунктом 9 статьи 16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Оценив представленные доказательства и установив факт продажи обществом алкогольной продукции в нарушение установленного запрета на продажу алкогольной продукции в праздничные дни, в том числе дни проведения выпускных мероприятий в образовательных организациях (последний звонок), суды пришли к выводу о наличии в действиях общества состава правонарушения, ответственность за совершение которого установлена частью 3 статьи 14.16 Кодекса Российской Федерации об административных правонарушениях. Процедура и срок давности привлечения к административной ответственности соблюдены. В соответствии со статьей 4.1.1 Кодекса Российской Федерации об административных правонарушениях административное наказание в виде административного штрафа заменено на предупреждение. Оснований для признания совершенного правонарушения малозначительным и освобождения лица от административной ответственности судами не установлено. При этом суды указали, что, основанием для возбуждения дела об административном правонарушении по соответствующей статье послужило непосредственное обнаружение должностными лицами, уполномоченными на составление протоколов об административных правонарушениях, достаточных данных, указывающих на наличие события административного правонарушения. Доводы жалобы свидетельствуют о несогласии с установленными судами обстоятельствами, а также оценкой имеющихся в материалах дела доказательств, что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ООО "ИП Кублякова Н.Г." (подробнее) Ответчики: Общество с ограниченной ответственностью "ИП Кублякова Н.Г." (подробнее) Региональная служба по тарифам и ценообразованию Забайкальского края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