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18.02.2019 в удовлетворении исковых требований отказано. Постановлением Тринадцатого арбитражного апелляционного суда от 05.06.2019 решение суда первой инстанции отменено, исковые требования удовлетворены. Постановлением Арбитражного суда Северо-Западного округа от 16.09.2019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346 , 358.1 , 358.8 , 388 , 431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Федерации, суд апелляционной инстанции, с выводом которого согласился суд округа, признал обоснованными требования истца, получившего право требования спорных денежных средств на основании договора цессии, отклонив доводы ответчика о его ничтожности.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«Нефтехимпроект»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"ОНХП" (подробнее) Ответчики: ЗАО "Нефтехимпроект" (подробнее) Иные лица: ПАО "МТС-Банк"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