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05.02.2019, оставленным без изменения постановлением Седьмого арбитражного апелляционного суда от 06.05.2019, иск удовлетворен. Арбитражный суд Западно-Сибирского округа постановлением от 09.09.2019 решение от 05.02.2019 и постановление Седьмого арбитражного апелляционного суда от 06.05.2019 оставил без изменения. В кассационной жалобе компания просит об отмене судебных актов вследствие отсутствия оценки представленных ею доказательств и условий ответственности за вред, отказа в рассмотрении дела по общим правилам искового производства.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компетентный на проверку соблюдения норм процессуального права по рассмотренному в упрощенном порядке делу, рассмотрел довод компании о необходимости рассмотрения дела по общим правилам судопроизводства и признал отсутствие законных условий для перехода судом первой инстанции к рассмотрению дела по таким правилам. Суды правомерно исходили из презюмируемой в силу статей 15 , 1064 Гражданского кодекса Российской Федерации вины компании в неисполнении обязанностей по эксплуатации общего имущества многоквартирного дома, в связи с использованием которого причинен вред, и неопровержения причастности к заявленным убыткам.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Дом-Сервис»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Страховое "ВСК" (подробнее) Ответчики: ООО "Управляющая компания Дом-Сервис"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