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13.02.2019, оставленным без изменения постановлением Девятого арбитражного апелляционного суда от 28.05.2019, взыскано 6 113 487 рублей 85 копеек финансовых санкций. Арбитражный суд Московского округа постановлением от 02.09.2019 решение от 13.02.2019 и постановление Девятого арбитражного апелляционного суда от 28.05.2019 оставил без изменения. В кассационной жалобе компания просит о пересмотре судебных актов вследствие неосновательного отказа в уменьшении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Заявление компании о применении статьи 333 Гражданского кодекса Российской Федерации рассмотрено судом первой инстанции в пределах компетенции и пересмотр ее в вопросе установления критериев для уменьшения неустойки на стадии кассационного производства не охватывается обозначенными основаниями.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«Ингосстрах-М»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Московский городской фонд обязательного медицинского страхования (подробнее) Ответчики: ООО "Страховая компания "Ингосстрах-М"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