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25.04.2019, оставленным без изменения постановлением Десятого арбитражного апелляционного суда от 18.06.2019 и постановлением Арбитражного суда Московского округа от 16.09.2019, в удовлетворении первоначального и встречного исков отказано. В кассационной жалобе, поданной в Верховный Суд Российской Федерации, общество просит отменить указанные судебные акты как принятые с нарушением норм материального и процессуального права, выражая несогласие с выводами судов в части отказа в удовлетворении первоначального иска. По смыслу части 1 статьи 291.1 , части 7 статьи 291.6 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принятых по делу судебных актов и доводов кассационной жалобы не установлено.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статьей 15 Гражданского кодекса Российской Федерации, суды первой и апелляционной инстанций пришли к выводу об отсутствии оснований для удовлетворения первоначального иска ввиду недоказанности обществом наличия совокупности обстоятельств, необходимых для взыскания с кооператива упущенной выгоды.С указанными выводами впоследствии согласился суд округа. Доводы кассационной жалобы не опровергают выводы судов, не подтверждают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«Строй-Логистика»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"СТРОЙ-ЛОГИСТИКА" (подробнее) Ответчики: ДАЧНЫЙ "МОСПРОЕКТОВЕЦ" (подробнее) Судьи дела: Чучунова Н.С. (судья) (подробнее) Судебная практика по: Упущенная выгода Судебная практика по применению норм ст. 15, 393 ГК РФ Возмещение убытков Судебная практика по применению нормы ст. 15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