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Пермского края от 01.02.2019, оставленным без изменения постановлением Семнадцатого арбитражного апелляционного суда от 30.04.2019 и постановлением Арбитражного суда Уральского округа от 04.09.2019, исковые требования удовлетворены. В кассационных жалобах, поданных в Верховный Суд Российской Федерации, предприниматель и Морозова С.В., ссылаясь на нарушение судами норм материального и процессуального права, несоответствие их выводов фактическим обстоятельствам дела, просят отменить указанные судебные акты и направить дело на новое рассмотрение. 2 По смыслу части 1 статьи 291.1, части 7 статьи 291.6,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кассационных жалоб не установлено. Суд первой инстанции, с которым согласились суды апелляционной инстанции и округа,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166, 170 Гражданского кодекса Российской Федерации, разъяснениями, приведенными в постановлении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пришел к выводу о наличии оснований для удовлетворения исковых требований. В частности, суд исходил из того, что фактически услуги по оспариваемой сделке не оказывались, действия ее сторон были направлены на создание видимости правоотношений и получение необоснованной налоговой выгоды, что не отвечает принципам разумности и добросовестности и ведет к нарушению прав и законных интересов общества и его единственного участника. Доводы кассационных жалоб были предметом рассмотрения судов и получили правовую оценку, не опровергают выводы судов, направлены на переоценку обстоятельств дела, установленных судами, не подтверждают существенных нарушений судами норм материального и процессуального права, повлиявших на исход дела.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индивидуального предпринимателя Гомзиковой Натальи Николаевны и Морозовой Светланы Венидиктовны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