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30.01.2019, оставленным без изменения постановлением Девятого арбитражного апелляционного суда от 07.05.2019, в удовлетворении иска отказано. Арбитражный суд Московского округа постановлением от 06.09.2019 решение от 30.01.2019 и постановление Девятого арбитражного апелляционного суда от 07.05.2019 оставил без изменения. В кассационной жалобе общество «Газпром трансгаз Екатеринбург» просит об отмене судебных актов как незаконных, ссылаясь на нарушения в применении статей 963 , 964 Гражданского кодекса Российской Федерации и условий страхования и необоснованное признание пропуска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повреждения застрахованного оборудования вследствие нарушения требований его технического обслуживания и контроля работоспособности работниками истца установлены судами на основании представленных доказательств и применительно к условиям страхования. Примененное судами условие договора согласуется с законным основанием освобождения страховщика от выплаты страхового возмещения (абзац 1 статьи 963 Гражданского кодекса Российской Федерации). Суды установили, что в силу согласованных в договоре от 01.07.2012 № 12РТ0345 условий страховая выплата должна быть произведена до 03.03.2016, в связи с чем указанная дата правомерно принята в качестве начала течения срока для предъявления иска, состоявшегося 27.09.2018 за пределами установленного статьей 966 Гражданского кодекса Российской Федерации срока исковой давности. Довод заявителя об необходимом исчислении срока исковой давности применительно к разным частям страхового возмещения и мотивам отказа в его выплате противоречит связи требуемых убытков с одним событием.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трансгаз Екатеринбург»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"Газпром трансгаз Екатеринбург" (подробнее) Ответчики: АО "СТРАХОВОЕ ОБЩЕСТВО ГАЗОВОЙ ПРОМЫШЛЕННОСТИ"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