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05.02.2019, оставленным без изменения постановлением Девятого арбитражного апелляционного суда от 13.05.2019 и постановлением Арбитражного суда Московского округа от 04.09.2019, в удовлетворении заявленных требований отказано. В кассационных жалобах, поданных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ПАО «МРСК Центра» признано нарушившим пункт 1 части 1 статьи 3 Федерального закона от 18.07.2011 № 223-ФЗ «О закупках товаров, работ, услуг отдельными видами юридических лиц» (далее - Закон о закупках), что выразилось в отсутствии в протоколе рассмотрения заявок детального раскрытия причин их отклонения. В остальной части жалоба общества на действия организатора торгов по отклонению заявки оставлена без удовлетворения. Полагая действия организатора закупки по отклонению заявки необоснованными, а закупочную документацию, подготовленную с нарушением требований действующего антимонопольного законодательства, общество обратилось в арбитражный суд. Оценив представленные в материалы дела доказательства, в том числе условия конкурсной документации, суды, руководствуясь положениями статьи 3 Закона о закупках, статей 8 , 10 Гражданского кодекса Российской Федерации, пришли к выводу о наличии у управления правовых оснований для принятия решения в спорной части. Судебные инстанции исходили из наличия у организатора торгов правовых оснований для отклонения заявки общества, содержащей существенные арифметические ошибки в сводной таблице стоимости работ, не позволившие объективно оценить порядок расчета участником закупки предложенной цены договора. При этом положения закупочной документации обществу были известны и в установленном порядке не оспаривались, а любое несоответствие заявки в рассматриваемом случае является самостоятельным основанием для ее отклонения. Доводы, изложенные в кассационной жалобе, являлись предметом рассмотрения судов и получили правовую оценку с учетом установленных обстоятельств дела. По существу доводы жалобы не свидетельствуют о существенных нарушениях норм материального и процессуального права, повлиявших на исход дела, выражают несогласие с выводами судов по фактическим обстоятельствам спора и оценкой оспоренных предписаний, что не может служить основанием для передачи кассационной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«Газпром энергосбыт Тюмень»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"Газпром энергосбыт Тюмень" (подробнее) АО "Тюменская энергосбытовая компания" (подробнее) Ответчики: Управление Федеральной антимонопольной службы по г. Москве (подробнее) Судьи дела: Антонова М.К.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