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16.04.2019, оставленным без изменения постановлением Тринадцатого арбитражного апелляционного суда от 09.07.2019, в удовлетворении заявленного требования отказано. Постановлением Арбитражного суда Северо-Западного округа от 25.09.2019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Исходя из доводов жалобы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неосуществления обществом обязанностей по текущему и капитальному ремонту и промывке фасадов здания (выявлены отслоение окрасочного слоя, трещины, разрушение штукатурного слоя, фасады находятся в загрязненном состоянии). Частью 2 статьи 20 Закона № 273-70 установлена административная ответственность за неосуществление обязанностей по очистке и промывке фасадов зданий и сооружений, а также по смывке, окраске в цвет, соответствующий утвержденному колерному бланку фасада, несанкционированных надписей и рисунков по мере их появления на фасадах зданий и сооружений или размещенных на них элементов благоустройства, за исключением административных правонарушений, ответственность за совершение которых предусмотрена Кодексом Российской Федерации об административных правонарушениях (далее - Кодекс), в виде предупреждения или наложения административного штрафа на юридических лиц - от ста тысяч до трехсот тысяч рублей. Согласно пункту 3 статьи 20 Закона № 273-70 неосуществление обязанностей по текущему и капитальному ремонту фасадов зданий и сооружений или размещенных на них элементов благоустройства, в том числе окраска фасада здания, строения, сооружения и их элементов без колерного бланка или с нарушением колерного бланка, утвержденного в составе правил благоустройства территории Санкт-Петербурга, за исключением административных правонарушений, ответственность за совершение которых предусмотрена Кодексом, влечет наложение административного штрафа на юридических лиц - от пятисот тысяч до одного миллиона рублей. Оценив представленные доказательства, руководствуясь положениями Правилами благоустройства территории Санкт-Петербурга, утвержденными постановлением правительства Санкт-Петербурга от 09.11.2016 № 961, суды пришли к выводу о наличии в действиях общества состава вменяемых административных правонарушений. При этом суды исходили из того, что на общество (собственника здания) возложена обязанность своевременно организовать ремонт и содержать фасады в чистом и исправном состоянии, объективные причины невозможности соблюдения требований законодательства не установлены. Общество приводит в жалобе доводы о том, что не является субъектом правонарушения в силу договора аренды, по которому обязанность по производству работ возложена на арендатора. Вместе с тем, указанные доводы являлись предметом рассмотрения судов и получили надлежащую правовую оценку, применительно к диспозиции вменяемой нормы и установленным обстоятельствам, связанным с наличием у общества как собственника здания обязанности содержать фасад в надлежащем состоянии, исполнение/неисполнение производства упомянутых работ, т.е. их непосредственное осуществление, обществу не вменяется. Административным органом не устанавливалось в рамках дела об административном правонарушении, и не являлось основанием для вывода о содержании фасада здания в ненадлежащем обстоятельства исполнения/неисполнения самим обществом производства ремонтных работ фасада здания.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"Вектор" (подробнее) Ответчики: Государственная административно-техническая инспекция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