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его требований в размере 742 845 800 рублей. Определением Арбитражного суда Карачаево-Черкесской Республики от 21.11.2018, оставленным без изменения постановлениями Шестнадцатого арбитражного апелляционного суда от 07.05.2019 и Арбитражного суда Северо-Кавказского округа от 10.09.2019, отказано в удовлетворении требований. В кассационной жалобе, поданной в Верховный Суд Российской Федерации, заявитель просит отменить указанные судебные акты, требования удовлетворить.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10, 167 и 170 Гражданского кодекса Российской Федерации, статей 71 и 100 Федерального закона от 26.10.2002 № 127-ФЗ «О несостоятельности (банкротстве)», позицией, изложенной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установив, что сделка, положенная в основу спорных требований общества, заключена между заинтересованными лицами при недоказанности экономической целесообразности с целью создания искусственной кредиторской задолженности и получение противоправным путём контроля над процедурой банкротства должника, пришли к выводу о мнимости данной сделки, указав на её совершение при злоупотреблении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«Вологодская сбытовая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