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25.01.2019, оставленным без изменения постановлением Двадцатого арбитражного апелляционного суда от 23.05.2019 и постановлением Арбитражного суда Центрального округа от 17.09.2019, в удовлетворении заявленных требований отказано. В кассационных жалобах, поданных в Верховный Суд Российской Федерации, ООО «Клиника Мед+» и ООО «Добрый доктор» просят отменить судебные акты, ссылаясь на существенное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устного соглашения, реализация которого привела к поддержанию цены на аукционах в электронной форме. Поскольку ООО «Медицинский центр Медэкспресс» добровольно заявило о заключении антиконкурентного соглашения и прекратило в нем участие, предписание в отношении данного общества антимонопольным органом не выносилось. В отношении иных обществ вынесено предписание о прекращении согласования совместного участия на торгах, а также выработки и реализации единой стратегии поведения. Считая ненормативные акты управления незаконными, общества обратились в арбитражный суд. Оценив представленные в материалы дела доказательства, суды, руководствуясь положениями статей 4, 8, 11, 12, 13, 17, 25, 25.1, 45 Закона о защите конкуренции, разъяснениями, изложенными в пункте 2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наличии у антимонопольного органа правовых оснований для вынесения решения и предписания ввиду доказанности в действиях заявителей вменяемого нарушения, выразившегося в заключении и реализации устного соглашения, приведшего к поддержанию цены на аукционах в электронной форме. Судебные инстанции исходили из установления совокупности обстоятельств, свидетельствующих об участии обществ в электронных аукционах в качестве формальных конкурентов, заранее определяя их исход. При этом все аукционы, в которых принимали участие общества, завершились с минимальным снижением цены контракта. 3 Доводы, изложенные в кассационных жалобах, в том числе о нарушении управлением сроков проведения проверки и неизвещении о заседании, на котором принято оспоренное решение,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По существу, приведенные доводы выражают несогласие заявителей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 Мед+» и обществу с ограниченной ответственностью «Добрый доктор»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