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12.07.2019, оставленным без изменения постановлением Пятнадцатого арбитражного апелляционного суда от 28.08.2019, в удовлетворении заявленного требования отказано. Товарищество обратилось в Верховный Суд Российской Федерации с кассационной жалобой на указанные судебные акты, ссылаясь на допущенные, по его мнению, существенные нарушения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административной ответственности послужил установленный административным органом факт нарушения товариществом правил содержания общего имущества в многоквартирном доме, а именно: не обеспечено проведение технического диагностирования внутридомового газового оборудования в отношении многоквартирного дома, в котором газовое оборудование (газопроводы) отработало срок эксплуатации, установленный изготовителем, или сроки, установленные проектной документацией (пер. Беломорский, 80/1-1975 года постройки). Статьей 7.22 Кодекса Российской Федерации об административных правонарушениях предусмотрена ответственность за нарушение лицами, ответственными за содержание жилых домов и (или) жилых помещений, правил содержания и ремонта жилых домов и (или) жилых помещений либо порядка и правил признания их непригодными для постоянного проживания и перевода их в нежилые, а равно переоборудование жилых домов и (или) жилых помещений без согласия нанимателя (собственника), если переоборудование существенно изменяет условия пользования жилым домом и (или) жилым помещением. Оценив представленные доказательства, руководствуясь положениями Жилищного кодекса Российской Федерации, Правил содержания общего имущества в многоквартирном доме, утвержденных постановлением Правительства Российской Федерации от 13.08.2006 № 491, Правил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газоснабжению, утвержденных постановлением Правительства Российской Федерации от 14.05.2013 № 410, суды пришли к выводу о наличии в действиях (бездействии) товарищества состава правонарушения, ответственность за которое предусмотрена статьей 7.22 Кодекса Российской Федерации об административных правонарушениях. При этом суды исходили из того, что товарищество несет ответственность за содержание и ремонт многоквартирного дома, а также за соответствие его технического состояния обязательным требованиям и нормам действующего законодательства. Приведенные в жалобе доводы, идентичные изложенным в обоснование позиции товарищества при рассмотрении дела, подробно исследованы судами и им дана исчерпывающая правовая оценка в обжалуемых судебных актах.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ТСЖ "Лесной" (подробнее) Ответчики: Государственная жилищная инспекция Ростовской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