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17.05.2019, оставленным без изменения постановлением Семнадцатого арбитражного апелляционного суда от 05.09.2019, в удовлетворении заявленного требования отказано. В кассационной жалобе общество просит отменить принятые по делу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послужили выводы административного органа о том, что при таможенном декларировании товаров в таможенный орган представлены декларации о соответствии, содержащие недостоверные сведения, и являющиеся недействительным документом. Частью 3 статьи 16.2 Кодекса Российской Федерации об административных правонарушениях предусмотрена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Положением о порядке ввоза на таможенную территорию Таможенного союза продукции (товаров), в отношении которой устанавливаются обязательные требования в рамках Таможенного союза, утвержденным решением Коллегии Евразийской экономической комиссии от 25.12.2012 № 294,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16.2 Кодекса Российской Федерации об административных правонарушениях. При этом суды исходили из того, что представленные заявителем декларации о соответствии не могут подтверждать соответствие ввозимых товаров требованиям стандартов и законодательства о техническом регулировании и, следовательно, соблюдение декларантом запретов и ограничений. Признавая вину общества в совершенном правонарушении, суды в соответствии с положениями статьи 2.1 Кодекса Российской Федерации об административных правонарушениях исходили из того, что заявителем не были приняты все зависящие от него меры в целях соблюдения запретов и ограничений при таможенном декларировании товара, при этом не представлено доказательств, свидетельствующих об отсутствии для этого объективной возможности. Судами проверены процедура и срок давности привлечения общества к административной ответственности, нарушений положений Кодекса Российской Федерации об административных правонарушениях не установлено. Административное наказание в виде штрафа назначено административным органом в пределах санкции части 3 статьи 16.2 Кодекса Российской Федерации об административных правонарушениях. Доводы жалобы о несоблюдении процедуры привлечения общества к административной ответственности получили надлежащую правовую оценку в оспариваемых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А.Г. Першутов Российской Федерации Суд: Верховный Суд РФ (подробнее) Истцы: ООО "Элемент-Трейд" (подробнее) Ответчики: Федеральная таможенная служба (подробнее) Иные лица: ЕКАТЕРИНБУРГСКАЯ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