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17.05.2019, оставленным без изменения постановлением Семнадцатого арбитражного апелляционного суда от 05.09.2019, в удовлетворении заявленного требования отказано. В кассационной жалобе общество просит отменить принятые по делу судебные акты, считая их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основанием для привлечения к ответственности послужили выводы административного органа о том, что при таможенном декларировании товаров в таможенный орган представлены декларации о соответствии, содержащие недостоверные сведения, и являющиеся недействительным документом. Частью 3 статьи 16.2 Кодекса Российской Федерации об административных правонарушениях предусмотрена ответственность за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документов, если такие сведения или документы послужили или могли послужить основанием для несоблюдения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ограничений. Оценив представленные доказательства, руководствуясь положениями Технического регламента Таможенного союза ТР ТС 021/2011 «О безопасности пищевой продукции», Технического регламента Таможенного союза ТР ТС 022/2011 «Пищевая продукция в части ее маркировки», Положением о порядке ввоза на таможенную территорию Таможенного союза продукции (товаров), в отношении которой устанавливаются обязательные требования в рамках Таможенного союза, утвержденным решением Коллегии Евразийской экономической комиссии от 25.12.2012 № 294,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3 статьи 16.2 Кодекса Российской Федерации об административных правонарушениях. При этом суды исходили из того, что представленные заявителем декларации о соответствии не могут подтверждать соответствие ввозимых товаров требованиям стандартов и законодательства о техническом регулировании и, следовательно, соблюдение декларантом запретов и ограничений. Признавая вину общества в совершенном правонарушении, суды в соответствии с положениями статьи 2.1 Кодекса Российской Федерации об административных правонарушениях исходили из того, что заявителем не были приняты все зависящие от него меры в целях соблюдения запретов и ограничений при таможенном декларировании товара, при этом не представлено доказательств, свидетельствующих об отсутствии для этого объективной возможности. Судами проверены процедура и срок давности привлечения общества к административной ответственности, нарушений положений Кодекса Российской Федерации об административных правонарушениях не установлено. Административное наказание в виде штрафа назначено административным органом в пределах санкции части 3 статьи 16.2 Кодекса Российской Федерации об административных правонарушениях. Доводы жалобы о несоблюдении процедуры привлечения общества к административной ответственности получили надлежащую правовую оценку в оспариваемых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изложенного,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А.Г. Першутов Российской Федерации Суд: Верховный Суд РФ (подробнее) Истцы: ООО "Элемент-Трейд" (подробнее) Ответчики: Федеральная таможенная служба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