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Иванов Илья Владимирович обратился в суд с заявлением о признании недействительными сделок должника по перечислению денежных средств в общем размере 62 339 010 рублей в пользу общества «Аурис Драгоценные Металлы» в качестве оплаты поставок товара за общество с ограниченной ответственностью «Лакшери»; применении последствий недействительности сделок. Определением Арбитражного суда города Москвы от 26.04.2019, оставленным без изменения постановлением Девятого арбитражного апелляционного суда от 30.07.2019, в удовлетворении заявления отказано. Постановлением Арбитражного суда Московского округа от 10.10.2019 вышеуказанные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положениями статьи 170 Гражданского кодекса Российской Федерации, исходил из того, что они вынесены без полного исследования всех доказательств и фактических обстоятельств, имеющих существенное значение для правильного разрешения спора, а также вне проверки приводимых конкурсным управляющим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«Аурис Драгоценные Металлы»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