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размере 4 897 097 рублей 84 копеек. Определением Арбитражного суда Свердловской области от 26.03.2019, оставленным без изменения постановлениями Семнадцатого арбитражного апелляционного суда от 13.06.2019 и Арбитражного суда Уральского округа от 11.09.2019,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142 , 143.1 , 146 Гражданского кодекса российской Федерации,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исходили из недоказанности факта наличия обязательства, положенного в основу вексельного долга перед обществом, являющимся к тому же заинтересованным по отношению к должнику лицом, в связи с чем,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«Торгмаш»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по Ленинскому району г. Екатеринбурга (подробнее) ОАО "Торгмаш" (подробнее) ООО "Спецремналадка" (подробнее) Ответчики: ООО "Основа Инвест" (подробнее) Иные лица: САМОРЕГУЛИРУЕМАЯ ОРГАНИЗАЦИЯ "АССОЦИАЦИЯ АРБИТРАЖНЫХ УПРАВЛЯЮЩИХ "ПАРИТЕТ" (подробнее) Судьи дела: Корнелюк Е.С. (судья) (подробнее) Судебная практика по: По ценным бумагам Судебная практика по применению норм ст. 142, 143, 148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