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06.03.2019, оставленным без изменения постановлением Одиннадцатого арбитражного апелляционного суда от 26.04.2019, в удовлетворении заявленных требований отказано. 2 Определением Арбитражного суда Поволжского округа от 23.07.2019 кассационная жалоба общества возвращена обществу на основании пункта 1 части 1 статьи 281 Арбитражного процессуального кодекса Российской Федерации. Определением Арбитражного суда Поволжского округа от 09.09.2019 указанное определение оставлено без изменения. Общество обратилось в Верховный Суд Российской Федерации с кассационной жалобой, в которой просит судебные акты суда округа отменить, ссылаясь на допущенные существенные нарушения норм процессуального права. При изучении доводов жалобы и принятых по делу судебных актов оснований для удовлетворения жалобы не установлено. Арбитражный суд Поволжского округа возвратил обществу кассационную жалобу на решение суда первой инстанции и постановление суда апелляционной инстанции, поскольку кассационная жалоба подана на судебные акты, которые не обжалуется в порядке кассационного производства в соответствии с частью 5.1 статьи 211 Арбитражного процессуального кодекса Российской Федерации и в кассационной жалобе общества отсутствуют доводы о наличии оснований, предусмотренных частью 4 статьи 288 Арбитражного процессуального кодекса Российской Федерации для отмены судебных актов. При этом суд округа указал, что в целях рассмотрения вопроса о принятии кассационной жалобы к производству по правилам, предусмотренным частью 5.1 статьи 211 Арбитражного процессуального кодекса Российской Федерации, суммы административных штрафов, назначенных разными постановлениями административного органа, жалобы на которые рассматриваются судом в одном производстве, не суммируются. Вопреки доводам жалобы при решении вопроса о наличии оснований для принятия кассационной жалобы суд исходит из обстоятельств, связанных с фактическим привлечением в административной ответственности и проверяет наличие условий, предусмотренных статьями 211 и 288 Арбитражного 3 процессуального кодекса Российской Федерации. При этом обоснованность квалификации правонарушения применительно к вопросу принятия кассационной жалобы правового значения не имеет. Существенных нарушений судами норм материального права, а также требований процессуального законодательства, повлиявших на решение вопроса о принятии кассационной жалобы,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