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26.07.2019, оставленным без изменения постановлением Десятого арбитражного апелляционного суда от 20.09.2019, в удовлетворении заявленного требования отказано. Общество обратилось в Верховный Суд Российской Федерации с кассационной жалобой, в которой просит указанные судебные акты отменить в части выводов о наличии в действиях общества состава административного правонарушения. 2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составления протокола по статье 8.7 Кодекса Московской области об административных правонарушениях административным органом послужил установленный административным органом факт, свидетельствующий о том, что общество, осуществляя перевозку пассажиров на маршруте регулярных перевозок, не передало в режиме реального времени в Региональную навигационно- информационную систему Московской области мониторинговую информацию о местоположении транспортного средства Московской области Поскольку на момент рассмотрения административным органом дела об административном правонарушении срок, предусмотренный статьей 4.5 Кодекса Российской Федерации об административных правонарушениях, истек, административным органом было вынесено постановление о прекращении производства по делу. Не согласившись с вынесенным административным органом постановлением, общество обратилось в арбитражный суд с настоящим заявлением. Статьей 8.7 Кодекса Московской области об административных правонарушениях установлена административная ответственность за нарушение требований, установленных нормативными правовыми актами Московской области, о передаче мониторинговой информации о параметрах движения и местоположении транспортных средств, используемых для перевозки пассажиров автомобильным транспортом и городским наземным электрическим транспортом по маршрутам регулярных перевозок, в Региональную навигационно-информационную систему Московской области. Оценив представленные доказательства, суды пришли к выводу о наличии в действиях общества состава административного правонарушения, ответственность за которое установлена статьей 8.7 Кодекса Московской области об административных правонарушениях.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наличием в действиях общества состава вмененного правонарушения. 3 Вопреки доводам жалобы в судебном акте по делу об оспаривании решения административного органа о привлечении к административной ответственности должны быть указаны все установленные по делу обстоятельства, тем более те, в отношении которых возражало лицо, привлеченное к ответственности, а не только связанные с истечением срока давности привлечения к административной ответственности. При этом правонарушение было выявлено не в рамках проведения проверки в отношении конкретного юридического лица - общества, а в процессе проведения рейдового осмотра, производство по делу об административном правонарушении возбуждено в отношении общества путем составления протокола об административном правонарушении. Доказательств проведения проверочных мероприятий в порядке, предусмотренном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отношении общества в рассматриваемом случае не представлено.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