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29.03.2019, оставленным без изменения постановлением Девятого арбитражного апелляционного суда от 20.06.2019, в удовлетворении заявленного требования отказано. 2 Постановлением Арбитражного суда Московского округа от 10.09.2019 указанные судебные акты оставлены без изменения. В кассационной жалобе, поступившей в Верховный Суд Российской Федерации, общество просит отменить принятые по делу судебные акты, ссылаясь на допущенные, по его мнению, судом существенные нарушения норм материального и процессуального права.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изложенные в жалобе доводы,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Как следует из судебных актов, основанием для привлечения к ответственности послужили выводы таможенного органа о невыполнении обществом в установленный срок обязанности по получению на свои банковские счета в уполномоченном банке иностранной валюты за переданные нерезидентам товары по экспортному контракту. Частью 4 статьи 15.25 Кодекса Российской Федерации об административных правонарушениях предусмотрена ответственность за невыполнение резидентом в установленный срок обязанности по получению на свои банковские счета в уполномоченных банках иностранной валюты или валюты Российской Федерации, причитающихся за переданные нерезидентам товары, выполненные для нерезидентов работы, оказанные нерезидентам 3 услуги либо за переданные нерезидентам информацию или результаты интеллектуальной деятельности, в том числе исключительные права на них. Оценив представленные доказательства и установив, что товар не был возвращен, а денежные средства за переданный контрагенту товар не были получены обществом на счета в контрактные сроки в уполномоченном банке, руководствуясь положениями Федерального закона от 10.12.2003 № 173-ФЗ «О валютном регулировании и валютном контроле», суды пришли к выводу о наличии в действиях общества состава административного правонарушения, ответственность за которое предусмотрена частью 4 статьи 15.25 Кодекса Российской Федерации об административных правонарушениях. При этом суды исходили из того, что общество имело возможность для соблюдения требований валютного законодательства, однако не приняло все зависящие от него меры по их соблюдению. Полная оценка обществом только гражданско-правовых последствий заключения договора не свидетельствует об отсутствии иных неблагоприятных правовых последствий, прежде всего, необходимости дополнительного учета сторонами публично-правовых требований, в частности требований валютного законодательства. Приведенные в жалобе доводы, идентичные изложенным в обоснование позиции общества при рассмотрении дела, подробно исследованы судами и им дана исчерпывающая правовая оценка в обжалуемых судебных актах.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Руководствуясь статьями 291.1, 291.6, 291.8 Арбитражного процессуального кодекса Российской Федерации, судья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