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24.04.2019, оставленным без изменения постановлением Пятнадцатого арбитражного апелляционного суда от 01.07.2019, в удовлетворении заявленного требования отказано. Постановлением Арбитражного суда Северо-Кавказского округа от 02.09.2019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административным органом факт уклонения общества от внесения в повестку дня общего собрания акционеров предложений о выдвижении кандидатов в совет директоров. Частью 1 статьи 15.23.1 Кодекса Российской Федерации об административных правонарушениях предусмотрена административная ответственность за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Оценив представленные доказательства, руководствуясь положениями Федерального закона от 26.12.1995 № 208-ФЗ «Об акционерных обществах»,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15.23.1 Кодекса Российской Федерации об административных правонарушениях. При этом суды исходили из того,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Доказательств наличия объективных причин, препятствовавших своевременному внесению предложения акционера в повестку дня общего собрания акционеров, не представлено и судами таких обстоятельств не установлено. Нарушений процедуры проведения проверки и привлечения общества к административной ответственности суд не установил. Штраф назначен в минимальном размере санкции нормы. Доводы жалобы были предметом рассмотрения судов и получили надлежащую правовую оценку применительно к установленным обстоятельствам спора.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"Цимлянские вина" (подробнее) Ответчики: Центральный банк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