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06.08.2019, оставленным без изменения постановлением Семнадцатого арбитражного апелляционного суда от 10.10.2019, общества привлечено к административной ответственности по статье 14.37 Кодекса Российской Федерации об административных правонарушениях и ему назначено наказание в виде предупреждения. Административный орган обратился в Верховный Суд Российской Федерации с кассационной жалобой на указанные судебные акты, ссылаясь на допущенные судом нарушения норм материального и процессуального права. При изучении доводов жалобы и принятых по делу судебных актов таких оснований для удовлетворения жалобы не установлено. Оценив представленные доказательства и установив факт эксплуатации рекламной конструкции без предусмотренного законодательством разрешения на ее установку и эксплуатацию, суды пришли к выводу о доказанности административным органом наличия в действиях общества состава вмененного ему административного правонарушения. Вместе с тем, руководствуясь положениями статьи 4.1.1 Кодекса Российской Федерации об административных правонарушениях, принимая во внимание обстоятельства совершенного правонарушения, правовой статус заявителя, включенного в Единый реестр субъектов малого и среднего предпринимательства, суд первой инстанции посчитал возможным заменить административное наказание, назначенное административным органом в виде штрафа, на предупреждение, установив наличие к тому совокупности условий, предусмотренных статьей 3.4 Кодекса Российской Федерации об административных правонарушениях. Суд апелляционной инстанции согласился с данными выводами. В кассационной жалобе административный орган приводит доводы о невозможности применения статьи 4.1.1 Кодекса Российской Федерации в рассматриваемом случае. Между тем,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охраняемых законом публичных интересов. Поскольку суды согласились с административным органом о наличии в действиях общества состава правонарушения, сложившийся к настоящему времени правовой результат по делу совпадает с тем результатом, которого добивался заявитель, из доводов жалобы не следует, чем в рассматриваемом случае нарушены публичные интересы и какой защите они подлежат. При установленных обстоятельствах доводы административного органа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Министерства внутренних дел Российской Федерации по городу Перми (подробнее) Ответчики: ООО "СПЕЦИАЛИЗИРОВАННЫЙ ЗАСТРОЙЩИК "ТАЛАН-РЕГИОН-5"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