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20.02.2019 в удовлетворении иска отказано. Постановлением Пятнадцатого арбитражного апелляционного суда от 21.05.2019 решение суда первой инстанции оставлено без изменения. Постановлением Арбитражного суда Северо-Кавказского округа от 04.09.2019 произведена замена учреждения на правопреемника – государственное бюджетное учреждение Краснодарского края «Спортивная школа олимпийского резерва по конному спорту».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принять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Исковые требования мотивированы наличием у учреждения (заказчика) задолженности за выполненные обществом (подрядчиком) работы в рамках контракта от 18.10.2017 № Ф.2017.443300 на выполнение работ для государственных нужд.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подрядчиком работы по контракту в полном объеме не выполнены, окончательный результат работ не получен и заказчику не передан, суды первой и апелляционной инстанций, руководствуясь положениями статей 309 , 310 , 702 , 709 , 711 , 753 , 758 , 760 Гражданского кодекса Российской Федерации, Градостроительного кодекса Российской Федерации, пришли к выводу об отсутствии оснований для удовлетворения иска.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«Русэксперт»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"РосЭксперт" (подробнее) Ответчики: Государственное бюджетное учреждение Краснодарского края "Спортивная школа по конному спорту №2"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