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04.02.2019, оставленным без изменения постановлением Девятого арбитражного апелляционного суда от 23.04.2019 и постановлением Арбитражного суда Московского округа от 29.08.2019, в удовлетворении заявления отказано. В кассационной жалобе, поданной в Верховный Суд Российской Федерации, министерство,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общество обратилось в ФАС России с жалобой на действия аукционной комиссии заказчика, министерства и ООО «СДС-Строй» (оператор электронной площадки) при проведении электронного аукциона на право заключения государственного контракта на выполнение работ по проектированию, строительству и вводу в эксплуатацию объекта капитального строительства «Центр по хоккею с мячом и конькобежным видам спорта с искусственным льдом в г. Иркутске». Решением антимонопольного органа действия заказчика и министерства признаны нарушающими часть 6 статьи 66, пункты 1, 2 части 1 статьи 64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действия аукционной комиссии признаны нарушающими часть 7 статьи 69 Закона о контрактной системе. Кроме того, указано о выдаче заказчику, министерству, аукционной комиссии, оператору электронной площадки предписания об устранении выявленного нарушения, передаче материалов для рассмотрения вопроса о возбуждении дел об административных правонарушениях. Не согласившись с решением управления в указанной части, министерство обратилось в арбитражный суд. Оценив представленные в материалы дела доказательства, суды первой и апелляционной инстанций, руководствуясь положениями Закона о контрактной системе, Градостроительного кодекса Российской Федерации, пришли к выводу о том, что оспариваемое решение соответствует положениям законодательства и не нарушает прав и законных интересов заявителя, с чем согласился суд округа. Суды исходили из того, что установление в документации об аукционе условия о членстве в саморегулируемой организации в области архитектурно- строительного проектирования, при наличии требования членства в саморегулируемой организации в области строительства, реконструкции, капитального ремонта с правом выполнения работ в отношении объектов капитального строительств, является излишним, ограничивающим круг потенциальных участников закупки. Кроме того, судебные инстанции указали, что возможность исполнения пункта 5.4.14 проекта контракта документации об аукционе зависит от волеизъявления третьих лиц и ограничивает круг потенциальных участников закупки, обоснование начальной (максимальной) цены договора документации об аукционе не предусматривает расходы, связанные с заключением лицензионного договора на получение прав на проектную документацию по объекту-аналогу, документация об аукционе не содержит сведений о затратах, которые необходимо понести поставщику в связи с исполнением данного пункта, что свидетельствует о неполном описании объекта закупки.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по регулированию контрактной системы в сфере закупок Иркутской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Министерство по регулированию контрактной системы в сфере закупок Иркутской области (подробнее) Ответчики: ФАС России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