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«Аэрофлот – российские авиалинии» (далее – общество) обратилось в суд с заявлением о включении в реестр требований кредиторов должника его требования в размере 8 075 271 рубля 52 копеек основного долга. Определением Арбитражного суда города Санкт-Петербурга и Ленинградской области от 01.03.2019, оставленным без изменения постановлениями Тринадцатого арбитражного апелляционного суда от 03.06.2019 и Арбитражного суда Северо-Западного округа 21.10.2019,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общества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заявленное требование,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309, 310, 421, 1001, 1005 Гражданского кодекса Российской Федерации, статьями 71, 100, 142 Федерального закона от 26.10.2002 № 127-ФЗ «О несостоятельности (банкротстве)», учли разъяснения, приведённые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подтверждено документально, не является текущим и по состоянию на день рассмотрения обоснованности заявления не погашено, отклонив как документально неподтверждённые доводы заявителя о заинтересованности сторон.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«Авиационная компания «Трансаэро» Белокопыту Алексею Васильевичу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