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Королевский Банк Шотландии Н.В. (The Royal Bank of Scotland N.V.; в настоящее время – компания) обратился в суд с заявлением о включении задолженности в сумме 11 667 850 507 рублей 50 копеек основного долга, 4 597 972 044 рублей 42 копеек процентов за пользование кредитом и 2 217 083 941 рубля 04 копеек процентов за просрочку исполнения обязательств в состав третьей очереди реестра требований кредиторов должника. Определением Арбитражного суда Челябинской области от 11.02.2019, оставленным без изменения постановлениями Восемнадцатого арбитражного апелляционного суда от 14.06.2019 и Арбитражного суда Уральского округа от 30.09.2019,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16, 71, 100 Федерального закона от 26.10.2002 № 127-ФЗ «О несостоятельности (банкротстве)», разъяснениями, приведёнными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фактических обстоятельств, связанных с разрешением по существу в рамках иного арбитражного дела иска компании к должнику и иным лицам о взыскании кредитной задолженности и наличием вступивших в законную силу судебных актов об отказе в его удовлетворении, в связи чем, отказали в удовлетворении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НатВест Маркетс Н.В. (NatWest Markets N.V.)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