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25.12.2018, оставленным без изменения постановлением Восьмого арбитражного апелляционного суда от 06.05.2019, в удовлетворении заявленного требования отказано. Постановлением Арбитражного суда Западно-Сибирского округа от 28.08.2019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по его мнению,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ее передачи на рассмотрение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установлен факт повреждения зеленых насаждений, а также спила деревьев в границах территории производства земляных работ. Частью 2 статьи 4.18 Кодекса Тюменской области об административной ответственности предусмотрено, что уничтожение и (или) повреждение зеленых насаждений 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двухсот тысяч рублей. Оценив представленные доказательства и установив, что обществом не соблюдены Правила благоустройства территории города Тюмени, утвержденные Решением Тюменской городской Думы от 26.06.2008 № 81, которыми, в том числе, установлены требования по обеспечению сохранности зеленых насаждений, суды пришли к выводу о наличии в действиях общества состава правонарушения, ответственность за совершение которого предусмотрена частью 2 статье 4.18 Кодекса Тюменской области об административной ответственности. Доводы жалобы о том, что правонарушение совершено подрядчиком, непосредственно осуществляющим земляные работы, были предметом рассмотрения судов и получили исчерпывающую оценку исходя из того, что действующее на территории субъекта РФ законодательство возлагает обязанность по сохранению зеленых насаждений на лицо, несущее ответственность за законность производимых работ, тогда как общество, получившее разрешение на проведение земляных работ, не осуществило надлежащий контроль за их проведением. Иные доводы жалобы направлены на переоценку доказательство и установление иных фактических обстоятельств дела, и не свидетельствуют о наличии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"Урало-Сибирская Теплоэнергетическая компания" (подробнее) Ответчики: АО Административная комиссия Центрального г. Тюмени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