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08.04.2019 в удовлетворении требований отказано. Постановлением Девятого арбитражного апелляционного суда от 15.07.2019 решение суда первой инстанции отменено, заявленные требования удовлетворены. Постановлением Арбитражного суда Московского округа от 18.09.2019 постановление суда апелляционной инстанции отменено, решение суда первой инстанции оставлено в силе. Общество обратилось в Верховный Суд Российской Федерации с кассационной жалобой, в которой просит постановление суда округа отменить, ссылаясь на допущенные существенные нарушения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в целях пресечения выявленного правонарушения, ответственность за совершение которого предусмотрена частью 2 статьи 11.14.2 Кодекса Российской Федерации об административных правонарушениях, в качестве меры обеспечения производства по делу об административном правонарушении, административным органом применен административный арест принадлежащего обществу транспортного средства – автобуса Форд 222700. Постановлением от 01.11.2018 общество привлечено к административной ответственности по части 2 статьи 11.14.2 Кодекса Российской Федерации об административных правонарушениях, транспортное средство автобус Форд 222700 возвращен законному владельцу. Отменяя постановление суда апелляционной инстанции и оставляя в силе решение суда первой инстанции, суд округа исходил из того, что действия административного органа по наложению ареста на транспортное средство совершены в соответствии с частью 1 статьи 27.1 и статьей 27.14 Кодекса Российской Федерации об административных правонарушениях, в целях пресечения административного правонарушения и указанная мера обеспечения соразмерна задачам производства по делу об административном правонарушении с учетом степени общественной опасности вменяемого деяния. Выводы суда округа соответствуют правовой позиции, изложенной в определении Верховного Суда Российской Федерации от 13.09.2019 № 310-ЭС19-6050. Несогласие общества с толкованием судебными инстанциями норм Кодекса Российской Федерации об административных правонарушениях и законодательства, подлежащих применению к спорным правоотношениям,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является основанием для пересмотра оспариваемых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"Форсаж" (подробнее) Ответчики: Центральное межрегиональное управление государственного автодорожного надзора Федеральной службы по надзору в сфере транспорта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