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05.02.2019, оставленным без изменения постановлениями Первого арбитражного апелляционного суда от 30.04.2019 и Арбитражного суда Волго-Вятского округа от 12.09.2019, в удовлетворении заявленных требований отказано. В кассационной жалобе департамент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и имеющимся в деле доказательствам.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конкурсной комиссии департамента при проведении электронного аукциона на право заключить контракт на выполнение работ по строительству объекта «Здание психоневрологического интерната в селе Арбузово, Собинского района Владимирской области» для нужд учреждения, выразившиеся в признании заявки общества не соответствующей требованиям аукционной документации, антимонопольным органом принято решение. Управлением жалоба общества в части неправомерного отклонения аукционной комиссией второй части заявки указанного участника закупки признана обоснованной, действия аукционной комиссии заказчика нарушившими части 6, 7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Предписанием управления на департамент возложена обязанность по устранению нарушения законодательства о контрактной системе. Не согласившись с ненормативными актами антимонопольного органа в части вывода о неправомерном отклонении аукционной комиссией второй части заявки общества, департамент обратился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31, 63, 64, 66, 69 Закона о контрактной системе, Федерального закона от 06.12.2011 № 402-ФЗ «О бухгалтерском учете»,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к товарам, работам, услугам, которые по причине их технической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(Постановление № 99), пришли к выводу о том, что оспариваемые акты управления соответствуют положениям действующего законодательства и не нарушают права и законные интересы заявителя. Судебные инстанции исходили из того, что представленные обществом документы соответствуют дополнительным требованиям, установленным в аукционной документации, и не противоречат положениям Закона о контрактной системе и Постановления № 99, подтверждают наличие у него опыта исполнения строительных работ в объеме, предусмотренном документацией об аукционе. Суды установили, что отсутствующая в акте о приемке выполненных работ по форме КС-2 страница содержит лишь часть перечня выполненных работ, а итоговая сумма и подписи уполномоченных лиц, подтверждающие фактическое исполнение работ, содержатся на последней странице акта, представленной в составе заявки, и соответствуют иным представленным документам. Таким образом, у департамента не имелось оснований для признания заявки общества не соответствующей требованиям аукционной документации. Доводы департамента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имущественных и земельных отношений администрации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Департамент имущественных и земельных отношений Администрации Владимирской области (подробнее) Ответчики: Управление Федеральной антимонопольной службы по Владимирской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