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Красноярского края от 14.01.2019, оставленным без изменения постановлением Третьего арбитражного апелляционного суда от 29.04.2019, иск удовлетворен. Арбитражный суд Восточно-Сибирского округа постановлением от 04.09.2019 решение от 14.01.2019 и постановление Третьего арбитражного апелляционного суда от 29.04.2019 оставил без изменения. В кассационной жалобе банк просит об отмене судебных актов как незаконных вследствие отсутствия объективной оценки правомерности принятой меры.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Довод банка об уклонении судов от оценки правомерности примененной меры противоречит содержанию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«Сбербанк России»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Ответчики: ПАО "Сбербанк России"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