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14.02.2019, оставленным без изменения постановлением Седьмого арбитражного апелляционного суда от 17.05.2019 и постановлением Арбитражного суда Западно-Сибирского округа от 16.09.2019, первоначальный иск удовлетворен; встречный иск удовлетворен в части взыскания 582 711 рублей 86 копеек имущественных потерь. В результате зачета удовлетворенных требований с общества «Стройсервис» в пользу общества «Юниверсал Карго Сервисес» взыскано 2 021 388 рублей 14 копеек долга. В кассационной жалобе общество «Стройсервис» просит об отмене судебных актов по первоначальному и встречному искам в частях, касающихся сумм налога на добавленную стоимость, ссылаясь на искусственное разделение международных и внутренних перевозок. В силу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общество «Юниверсал Карго Сервисес» действовало в пределах договора на транспортно-экспедиционное обслуживание от 31.12.2015 № 872, предъявив к оплате счета-фактуры с учетом налога на добавленную стоимость и уплатив соответствующие суммы налога в бюджет, поэтому отказали обществу «Стройсервис» во взыскании соответствующих налогу сумм неосновательного обогащения, руководствуясь статьями 801 , 1102 Гражданского кодекса Российской Федерации, нормами Федерального закона от 30.06.2003 № 87-ФЗ «О транспортно-экспедиционной деятельности», статьями 164 , 165 , 173 Налогового кодекса Российской Федерации. Заложенное в доводах жалобы оспаривание выводов судов об обстоятельствах исполнения договора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"Юниверсал Карго Сервисес" (подробнее) Ответчики: ЗАО "Стройсервис"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