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об утверждении расходов должника на оплату услуг привлеченных лиц. Определением Арбитражного суда Краснодарского края от 12.04.2019, оставленным без изменения постановлениями Пятнадцатого арбитражного апелляционного суда от 13.07.2019 и Арбитражного суда Северо-Кавказского округа от 04.10.2019, в удовлетворении заявленных требований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20.3, 20.7, 138, 139 Федерального закона от 26.10.2002 № 127-ФЗ «О несостоятельности (банкротстве)», пунктом 4 постановления Пленума Высшего Арбитражного Суда Российской Федерации от 17.12.2009 № 91 «О порядке погашения расходов по делу о банкротстве», исходили из презумпции компетентности конкурсного управляющего, не рассмотревшего возможность выполнения услуг иными более специализированными организациями и за меньшую стоимость, в связи с чем, пришли к выводу об отсутствии правовых оснований для утверждения заявленных им расходов, способных повлечь необоснованные траты денежных средств должника.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«Стройметаллинвест» Седову Василию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