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16.10.2018 в принятии уточнений иска и в удовлетворении иска отказано. Определением от 24.12.2018 Пятнадцатый арбитражный апелляционный суд перешел к рассмотрению дела по правилам, установленным для рассмотрения дела в суде первой инстанции, принял к рассмотрению заявленное истцом требование о возврате переданного на хранение имущества. Постановлением Пятнадцатого арбитражного апелляционного суда от 13.05.2019, оставленным без изменения постановлением Арбитражного суда Северо-Кавказского округа от 05.09.2019, решение отменено: предприятие обязано возвратить обществу переданное на хранение имущество в месте его хранения. В кассационной жалобе предприятие просит о пересмотре судебных актов апелляционного и окружного судов как незаконных, ссылаясь допущенное принятием уточнения иска неправомерное определение за истца способа защиты, неисследование исполнения договора хранения.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предприятия о неправомерном принятии уточнения иска противоречит признанию им правомочия на самостоятельное распоряжение процессуальными правами. Суд апелляционной инстанции установил истечение срока хранения, поэтому правомерно удовлетворил иск о возврате хранимого имущества.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Краснодарского края «Кубаньводкомплекс»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"Югводоканал" (подробнее) Ответчики: ГУП Краснодарского края Кубаньводкомплекс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